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480"/>
        <w:ind w:right="0" w:left="0" w:firstLine="720"/>
        <w:jc w:val="center"/>
        <w:rPr>
          <w:rFonts w:ascii="Times New Roman" w:hAnsi="Times New Roman" w:cs="Times New Roman" w:eastAsia="Times New Roman"/>
          <w:color w:val="auto"/>
          <w:spacing w:val="0"/>
          <w:position w:val="0"/>
          <w:sz w:val="24"/>
          <w:shd w:fill="auto" w:val="clear"/>
        </w:rPr>
      </w:pPr>
    </w:p>
    <w:p>
      <w:pPr>
        <w:spacing w:before="0" w:after="0" w:line="480"/>
        <w:ind w:right="0" w:left="0" w:firstLine="720"/>
        <w:jc w:val="center"/>
        <w:rPr>
          <w:rFonts w:ascii="Times New Roman" w:hAnsi="Times New Roman" w:cs="Times New Roman" w:eastAsia="Times New Roman"/>
          <w:color w:val="auto"/>
          <w:spacing w:val="0"/>
          <w:position w:val="0"/>
          <w:sz w:val="24"/>
          <w:shd w:fill="auto" w:val="clear"/>
        </w:rPr>
      </w:pPr>
    </w:p>
    <w:p>
      <w:pPr>
        <w:spacing w:before="0" w:after="0" w:line="480"/>
        <w:ind w:right="0" w:left="0" w:firstLine="72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480"/>
        <w:ind w:right="0" w:left="0" w:firstLine="720"/>
        <w:jc w:val="center"/>
        <w:rPr>
          <w:rFonts w:ascii="Times New Roman" w:hAnsi="Times New Roman" w:cs="Times New Roman" w:eastAsia="Times New Roman"/>
          <w:color w:val="auto"/>
          <w:spacing w:val="0"/>
          <w:position w:val="0"/>
          <w:sz w:val="24"/>
          <w:shd w:fill="auto" w:val="clear"/>
        </w:rPr>
      </w:pP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main difference between disparate Impact and disparate treatment is whether or not the discrimination was done intentionally or not. It is very important for employers to be cognizant of what can lead to such claims, as well as what can be done to prevent them. Educating staff is a very important part of preventing any type of a discrimination claim.</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“Disparate Impact vs. Disparate Treatment”</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Disparate Impact claim is that in which an employers has a practice in place that discriminates or has a bigger impact on one group more than on another. Examples of employer practices that can result in disparate impact claims include things such as selection testing and assessments, height and weight requirements, and educational requirements. </w:t>
      </w:r>
      <w:r>
        <w:rPr>
          <w:rFonts w:ascii="Times New Roman" w:hAnsi="Times New Roman" w:cs="Times New Roman" w:eastAsia="Times New Roman"/>
          <w:i/>
          <w:color w:val="auto"/>
          <w:spacing w:val="0"/>
          <w:position w:val="0"/>
          <w:sz w:val="24"/>
          <w:shd w:fill="auto" w:val="clear"/>
        </w:rPr>
        <w:t xml:space="preserve">Griggs v. Duke Power Co. </w:t>
      </w:r>
      <w:r>
        <w:rPr>
          <w:rFonts w:ascii="Times New Roman" w:hAnsi="Times New Roman" w:cs="Times New Roman" w:eastAsia="Times New Roman"/>
          <w:color w:val="auto"/>
          <w:spacing w:val="0"/>
          <w:position w:val="0"/>
          <w:sz w:val="24"/>
          <w:shd w:fill="auto" w:val="clear"/>
        </w:rPr>
        <w:t xml:space="preserve">is a great example of a disparate impact case. Disparate impact was the cause for the famous case of </w:t>
      </w:r>
      <w:r>
        <w:rPr>
          <w:rFonts w:ascii="Times New Roman" w:hAnsi="Times New Roman" w:cs="Times New Roman" w:eastAsia="Times New Roman"/>
          <w:i/>
          <w:color w:val="auto"/>
          <w:spacing w:val="0"/>
          <w:position w:val="0"/>
          <w:sz w:val="24"/>
          <w:shd w:fill="auto" w:val="clear"/>
        </w:rPr>
        <w:t xml:space="preserve">Griggs v. Duke Power Co.</w:t>
      </w:r>
      <w:r>
        <w:rPr>
          <w:rFonts w:ascii="Times New Roman" w:hAnsi="Times New Roman" w:cs="Times New Roman" w:eastAsia="Times New Roman"/>
          <w:color w:val="auto"/>
          <w:spacing w:val="0"/>
          <w:position w:val="0"/>
          <w:sz w:val="24"/>
          <w:shd w:fill="auto" w:val="clear"/>
        </w:rPr>
        <w:t xml:space="preserve">; it was the first case of its kind. African American employees sued the company because they required applicants to possess a high school diploma or pass intelligence tests to be considered for internal employment opportunities. </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 the other hand, a disparate treatment claim is a claim in which an employee claims that they have been treated differently than other employees in the same situation. According to Phillips and Gully, disparate treatment is “…intentional discrimination based on a person’s protected characteristic” (2013, p. 67). Disparate impact happens when an action, whether or not intentional, has a disproportionate effect on a protected group (Phillips &amp; Gully, 2013, p. 67). In order to prove that an individual has been a victim of intentional discrimination, the employee must prove that he/she has been discriminated against due to a protected group characteristic such as race or sexual orientation. </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Filing a Complaint With the EEOC”</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individual can file both a disparate impact and treatment claim by going to an EEOC office in their area or by mail. A claim cannot be filed over the phone, but the process can be started via the phone. Additionally, depending on where the individual making the claim lives, determines how long one has to file a claim. According to the EEOC (2015), anti-discrimination laws give a limited time to file a discrimination charge. Typically, a charge needs to be filed within 180 calendar days from when the discrimination occurred. If a state or local government agency enforces a similar law the prohibits discrimination of the same sort, then the 180 calendar days deadline is extended to 300 calendar days. When it comes to an age discrimination charge, the deadline can only be extended to 300 calendar days if a state law specifically prohibits employment age discrimination and a state agency that enforces the law. If a local agency enforces the law and not a state agency, then the deadline cannot be extended for filing a claim (2015).</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“Available Defenses”</w:t>
      </w:r>
    </w:p>
    <w:p>
      <w:pPr>
        <w:spacing w:before="0" w:after="0" w:line="480"/>
        <w:ind w:right="0" w:left="0" w:firstLine="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Disparate Impact</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it comes to disparate impact, a defense that can be used by an employer should a claim be filed, is to prove that the policy is place is there due to a business necessity. An employer can also prove that no such policy is in place and use that as a defense. </w:t>
      </w:r>
    </w:p>
    <w:p>
      <w:pPr>
        <w:spacing w:before="0" w:after="0" w:line="480"/>
        <w:ind w:right="0" w:left="0" w:firstLine="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Disparate Treatment</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Employers can defend themselves against disparate treatment claims by simply proving that those not in a protected group were not favored. Additionally, employers can also prove that the actions were a business necessity, as in disparate impact claims.</w:t>
      </w:r>
    </w:p>
    <w:p>
      <w:pPr>
        <w:spacing w:before="0" w:after="0" w:line="480"/>
        <w:ind w:right="0" w:left="0" w:firstLine="720"/>
        <w:jc w:val="center"/>
        <w:rPr>
          <w:rFonts w:ascii="Times New Roman" w:hAnsi="Times New Roman" w:cs="Times New Roman" w:eastAsia="Times New Roman"/>
          <w:b/>
          <w:color w:val="auto"/>
          <w:spacing w:val="0"/>
          <w:position w:val="0"/>
          <w:sz w:val="24"/>
          <w:shd w:fill="auto" w:val="clear"/>
        </w:rPr>
      </w:pPr>
    </w:p>
    <w:p>
      <w:pPr>
        <w:spacing w:before="0" w:after="0" w:line="480"/>
        <w:ind w:right="0" w:left="0" w:firstLine="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“How to Avoid EEOC Claims”</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According to the EEOC (2015), there are a few ways that an organization can prevent claims. Employers should ensure that all of its employees and HR managers are educated on EEOC laws. Employers should also promote diversity, and foster open communication in attempts to avoid such claims. Additionally, organizations should also conduct self-analyses to make sure that their employment practices are not disadvantageous to individuals within the protected groups (2015).</w:t>
      </w:r>
    </w:p>
    <w:p>
      <w:pPr>
        <w:spacing w:before="0" w:after="0" w:line="480"/>
        <w:ind w:right="0" w:left="0" w:firstLine="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Conclusion”</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Overall, there is a very fine line as to whether or not a claim with be accepted or rejected. It is important for an employee to be able to prove in both cases that the actions of the employer were intentional. In terms of the employer, it is important for them to be able to prove that such policy or action is justified due to a business necessity. </w:t>
      </w:r>
    </w:p>
    <w:p>
      <w:pPr>
        <w:spacing w:before="0" w:after="0" w:line="480"/>
        <w:ind w:right="0" w:left="0" w:firstLine="720"/>
        <w:jc w:val="center"/>
        <w:rPr>
          <w:rFonts w:ascii="Arial" w:hAnsi="Arial" w:cs="Arial" w:eastAsia="Arial"/>
          <w:color w:val="000066"/>
          <w:spacing w:val="0"/>
          <w:position w:val="0"/>
          <w:sz w:val="21"/>
          <w:shd w:fill="auto" w:val="clear"/>
        </w:rPr>
      </w:pPr>
    </w:p>
    <w:p>
      <w:pPr>
        <w:spacing w:before="0" w:after="0" w:line="480"/>
        <w:ind w:right="0" w:left="0" w:firstLine="720"/>
        <w:jc w:val="center"/>
        <w:rPr>
          <w:rFonts w:ascii="Arial" w:hAnsi="Arial" w:cs="Arial" w:eastAsia="Arial"/>
          <w:color w:val="000066"/>
          <w:spacing w:val="0"/>
          <w:position w:val="0"/>
          <w:sz w:val="21"/>
          <w:shd w:fill="auto" w:val="clear"/>
        </w:rPr>
      </w:pPr>
    </w:p>
    <w:p>
      <w:pPr>
        <w:spacing w:before="0" w:after="0" w:line="480"/>
        <w:ind w:right="0" w:left="0" w:firstLine="720"/>
        <w:jc w:val="center"/>
        <w:rPr>
          <w:rFonts w:ascii="Arial" w:hAnsi="Arial" w:cs="Arial" w:eastAsia="Arial"/>
          <w:color w:val="000066"/>
          <w:spacing w:val="0"/>
          <w:position w:val="0"/>
          <w:sz w:val="21"/>
          <w:shd w:fill="auto" w:val="clear"/>
        </w:rPr>
      </w:pPr>
    </w:p>
    <w:p>
      <w:pPr>
        <w:spacing w:before="0" w:after="0" w:line="480"/>
        <w:ind w:right="0" w:left="0" w:firstLine="720"/>
        <w:jc w:val="center"/>
        <w:rPr>
          <w:rFonts w:ascii="Arial" w:hAnsi="Arial" w:cs="Arial" w:eastAsia="Arial"/>
          <w:color w:val="000066"/>
          <w:spacing w:val="0"/>
          <w:position w:val="0"/>
          <w:sz w:val="21"/>
          <w:shd w:fill="auto" w:val="clear"/>
        </w:rPr>
      </w:pPr>
    </w:p>
    <w:p>
      <w:pPr>
        <w:spacing w:before="0" w:after="0" w:line="480"/>
        <w:ind w:right="0" w:left="0" w:firstLine="720"/>
        <w:jc w:val="center"/>
        <w:rPr>
          <w:rFonts w:ascii="Arial" w:hAnsi="Arial" w:cs="Arial" w:eastAsia="Arial"/>
          <w:color w:val="000066"/>
          <w:spacing w:val="0"/>
          <w:position w:val="0"/>
          <w:sz w:val="21"/>
          <w:shd w:fill="auto" w:val="clear"/>
        </w:rPr>
      </w:pPr>
    </w:p>
    <w:p>
      <w:pPr>
        <w:spacing w:before="0" w:after="0" w:line="480"/>
        <w:ind w:right="0" w:left="0" w:firstLine="720"/>
        <w:jc w:val="center"/>
        <w:rPr>
          <w:rFonts w:ascii="Arial" w:hAnsi="Arial" w:cs="Arial" w:eastAsia="Arial"/>
          <w:color w:val="000066"/>
          <w:spacing w:val="0"/>
          <w:position w:val="0"/>
          <w:sz w:val="21"/>
          <w:shd w:fill="auto" w:val="clear"/>
        </w:rPr>
      </w:pPr>
    </w:p>
    <w:p>
      <w:pPr>
        <w:spacing w:before="0" w:after="0" w:line="480"/>
        <w:ind w:right="0" w:left="0" w:firstLine="720"/>
        <w:jc w:val="center"/>
        <w:rPr>
          <w:rFonts w:ascii="Times New Roman" w:hAnsi="Times New Roman" w:cs="Times New Roman" w:eastAsia="Times New Roman"/>
          <w:color w:val="auto"/>
          <w:spacing w:val="0"/>
          <w:position w:val="0"/>
          <w:sz w:val="24"/>
          <w:shd w:fill="auto" w:val="clear"/>
        </w:rPr>
      </w:pPr>
    </w:p>
    <w:p>
      <w:pPr>
        <w:spacing w:before="0" w:after="0" w:line="480"/>
        <w:ind w:right="0" w:left="0" w:firstLine="720"/>
        <w:jc w:val="center"/>
        <w:rPr>
          <w:rFonts w:ascii="Times New Roman" w:hAnsi="Times New Roman" w:cs="Times New Roman" w:eastAsia="Times New Roman"/>
          <w:color w:val="auto"/>
          <w:spacing w:val="0"/>
          <w:position w:val="0"/>
          <w:sz w:val="24"/>
          <w:shd w:fill="auto" w:val="clear"/>
        </w:rPr>
      </w:pPr>
    </w:p>
    <w:p>
      <w:pPr>
        <w:spacing w:before="0" w:after="0" w:line="480"/>
        <w:ind w:right="0" w:left="0" w:firstLine="720"/>
        <w:jc w:val="center"/>
        <w:rPr>
          <w:rFonts w:ascii="Times New Roman" w:hAnsi="Times New Roman" w:cs="Times New Roman" w:eastAsia="Times New Roman"/>
          <w:color w:val="auto"/>
          <w:spacing w:val="0"/>
          <w:position w:val="0"/>
          <w:sz w:val="24"/>
          <w:shd w:fill="auto" w:val="clear"/>
        </w:rPr>
      </w:pPr>
    </w:p>
    <w:p>
      <w:pPr>
        <w:spacing w:before="0" w:after="0" w:line="480"/>
        <w:ind w:right="0" w:left="0" w:firstLine="720"/>
        <w:jc w:val="center"/>
        <w:rPr>
          <w:rFonts w:ascii="Times New Roman" w:hAnsi="Times New Roman" w:cs="Times New Roman" w:eastAsia="Times New Roman"/>
          <w:color w:val="auto"/>
          <w:spacing w:val="0"/>
          <w:position w:val="0"/>
          <w:sz w:val="24"/>
          <w:shd w:fill="auto" w:val="clear"/>
        </w:rPr>
      </w:pPr>
    </w:p>
    <w:p>
      <w:pPr>
        <w:spacing w:before="0" w:after="0" w:line="480"/>
        <w:ind w:right="0" w:left="0" w:firstLine="720"/>
        <w:jc w:val="center"/>
        <w:rPr>
          <w:rFonts w:ascii="Times New Roman" w:hAnsi="Times New Roman" w:cs="Times New Roman" w:eastAsia="Times New Roman"/>
          <w:color w:val="auto"/>
          <w:spacing w:val="0"/>
          <w:position w:val="0"/>
          <w:sz w:val="24"/>
          <w:shd w:fill="auto" w:val="clear"/>
        </w:rPr>
      </w:pPr>
    </w:p>
    <w:p>
      <w:pPr>
        <w:spacing w:before="0" w:after="0" w:line="480"/>
        <w:ind w:right="0" w:left="0" w:firstLine="72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References</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Gray, K. (2012, August 30). The Difference Between Disparate Impact and Treatment. Retrieved </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May 14, 2015, from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http://www.hreonline.com/HRE/view/story.jhtml?id=533349910</w:t>
        </w:r>
      </w:hyperlink>
      <w:r>
        <w:rPr>
          <w:rFonts w:ascii="Times New Roman" w:hAnsi="Times New Roman" w:cs="Times New Roman" w:eastAsia="Times New Roman"/>
          <w:color w:val="auto"/>
          <w:spacing w:val="0"/>
          <w:position w:val="0"/>
          <w:sz w:val="24"/>
          <w:shd w:fill="auto" w:val="clear"/>
        </w:rPr>
        <w:t xml:space="preserve"> </w:t>
      </w:r>
    </w:p>
    <w:p>
      <w:pPr>
        <w:spacing w:before="0" w:after="0" w:line="48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Phillips, J. M., &amp; Gully, S. M. (2014). </w:t>
      </w:r>
      <w:r>
        <w:rPr>
          <w:rFonts w:ascii="Times New Roman" w:hAnsi="Times New Roman" w:cs="Times New Roman" w:eastAsia="Times New Roman"/>
          <w:i/>
          <w:color w:val="000000"/>
          <w:spacing w:val="0"/>
          <w:position w:val="0"/>
          <w:sz w:val="24"/>
          <w:shd w:fill="FFFFFF" w:val="clear"/>
        </w:rPr>
        <w:t xml:space="preserve">Strategic Staffing</w:t>
      </w:r>
      <w:r>
        <w:rPr>
          <w:rFonts w:ascii="Times New Roman" w:hAnsi="Times New Roman" w:cs="Times New Roman" w:eastAsia="Times New Roman"/>
          <w:color w:val="000000"/>
          <w:spacing w:val="0"/>
          <w:position w:val="0"/>
          <w:sz w:val="24"/>
          <w:shd w:fill="FFFFFF" w:val="clear"/>
        </w:rPr>
        <w:t xml:space="preserve">, 3rd Edition. [VitalSource </w:t>
      </w:r>
    </w:p>
    <w:p>
      <w:pPr>
        <w:spacing w:before="0" w:after="0" w:line="480"/>
        <w:ind w:right="0" w:left="0" w:firstLine="72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000000"/>
          <w:spacing w:val="0"/>
          <w:position w:val="0"/>
          <w:sz w:val="24"/>
          <w:shd w:fill="FFFFFF" w:val="clear"/>
        </w:rPr>
        <w:t xml:space="preserve">Bookshelf version]. Retrieved from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FFFFFF" w:val="clear"/>
          </w:rPr>
          <w:t xml:space="preserve">http://devry.vitalsource.com/books/9781269715829</w:t>
        </w:r>
      </w:hyperlink>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BEST PRACTICES FOR EMPLOYERS AND HUMAN RESOURCES/EEO </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PROFESSIONALS. (n.d.). Retrieved May 13, 2015, from </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http://www.eeoc.gov/eeoc/initiatives/e-race/bestpractices-employers.cfm</w:t>
        </w:r>
      </w:hyperlink>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How to File a Charge of Employment Discrimination. (n.d.). Retrieved May 13, 2015, from </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http://www.eeoc.gov/employees/howtofile.cfm</w:t>
        </w:r>
      </w:hyperlink>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Time Limits For Filing A Charge. (n.d.). Retrieved May 13, 2015, from </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http://www.eeoc.gov/employees/timeliness.cfm</w:t>
        </w:r>
      </w:hyperlink>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evry.vitalsource.com/books/9781269715829" Id="docRId1" Type="http://schemas.openxmlformats.org/officeDocument/2006/relationships/hyperlink" /><Relationship TargetMode="External" Target="http://www.eeoc.gov/employees/howtofile.cfm" Id="docRId3" Type="http://schemas.openxmlformats.org/officeDocument/2006/relationships/hyperlink" /><Relationship Target="numbering.xml" Id="docRId5" Type="http://schemas.openxmlformats.org/officeDocument/2006/relationships/numbering" /><Relationship TargetMode="External" Target="http://www.hreonline.com/HRE/view/story.jhtml?id=533349910" Id="docRId0" Type="http://schemas.openxmlformats.org/officeDocument/2006/relationships/hyperlink" /><Relationship TargetMode="External" Target="http://www.eeoc.gov/eeoc/initiatives/e-race/bestpractices-employers.cfm" Id="docRId2" Type="http://schemas.openxmlformats.org/officeDocument/2006/relationships/hyperlink" /><Relationship TargetMode="External" Target="http://www.eeoc.gov/employees/timeliness.cfm" Id="docRId4" Type="http://schemas.openxmlformats.org/officeDocument/2006/relationships/hyperlink" /><Relationship Target="styles.xml" Id="docRId6" Type="http://schemas.openxmlformats.org/officeDocument/2006/relationships/styles" /></Relationships>
</file>